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BE" w:rsidRDefault="004C0093">
      <w:r w:rsidRPr="004C0093">
        <w:rPr>
          <w:noProof/>
        </w:rPr>
        <w:drawing>
          <wp:inline distT="0" distB="0" distL="0" distR="0">
            <wp:extent cx="9077325" cy="58197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65FBE" w:rsidSect="004C0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0093"/>
    <w:rsid w:val="001C7FE5"/>
    <w:rsid w:val="004C0093"/>
    <w:rsid w:val="00754B79"/>
    <w:rsid w:val="00926DA9"/>
    <w:rsid w:val="00A65FBE"/>
    <w:rsid w:val="00F4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6;&#1090;&#1095;&#1077;&#1090;&#1099;%202018-2019\&#1082;&#1072;&#1095;&#1077;&#1089;&#1090;&#1074;&#1086;%20&#1088;&#1072;&#1073;&#1086;&#1090;&#1099;%20&#1062;&#1050;&#1056;&#1054;&#1080;&#1056;\&#1044;&#1080;&#1072;&#1075;&#1088;&#1072;&#1084;&#1084;&#1099;\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 sz="2400">
                <a:latin typeface="Times New Roman" pitchFamily="18" charset="0"/>
                <a:cs typeface="Times New Roman" pitchFamily="18" charset="0"/>
              </a:rPr>
              <a:t>Количество лиц</a:t>
            </a:r>
            <a:r>
              <a:rPr lang="ru-RU" sz="2400" baseline="0">
                <a:latin typeface="Times New Roman" pitchFamily="18" charset="0"/>
                <a:cs typeface="Times New Roman" pitchFamily="18" charset="0"/>
              </a:rPr>
              <a:t> с </a:t>
            </a:r>
            <a:r>
              <a:rPr lang="ru-RU" sz="2400">
                <a:latin typeface="Times New Roman" pitchFamily="18" charset="0"/>
                <a:cs typeface="Times New Roman" pitchFamily="18" charset="0"/>
              </a:rPr>
              <a:t> ОПФР, нуждающихся в специальном образовании и коррекционно-педагогической помощи, в Волковысском районе</a:t>
            </a:r>
          </a:p>
        </c:rich>
      </c:tx>
    </c:title>
    <c:view3D>
      <c:perspective val="30"/>
    </c:view3D>
    <c:sideWall>
      <c:spPr>
        <a:ln>
          <a:solidFill>
            <a:srgbClr val="00B0F0"/>
          </a:solidFill>
        </a:ln>
      </c:spPr>
    </c:sideWall>
    <c:backWall>
      <c:spPr>
        <a:ln>
          <a:solidFill>
            <a:srgbClr val="00B0F0"/>
          </a:solidFill>
        </a:ln>
      </c:spPr>
    </c:backWall>
    <c:plotArea>
      <c:layout>
        <c:manualLayout>
          <c:layoutTarget val="inner"/>
          <c:xMode val="edge"/>
          <c:yMode val="edge"/>
          <c:x val="0.11265507436570428"/>
          <c:y val="0.20711402073104201"/>
          <c:w val="0.52880512706111105"/>
          <c:h val="0.6568534006898904"/>
        </c:manualLayout>
      </c:layout>
      <c:bar3DChart>
        <c:barDir val="col"/>
        <c:grouping val="standard"/>
        <c:ser>
          <c:idx val="0"/>
          <c:order val="0"/>
          <c:tx>
            <c:strRef>
              <c:f>Лист1!$E$7</c:f>
              <c:strCache>
                <c:ptCount val="1"/>
                <c:pt idx="0">
                  <c:v>Количество детей с ОПФР, нуждающихся в специальном образовании, чел.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dLbls>
            <c:dLbl>
              <c:idx val="0"/>
              <c:layout>
                <c:manualLayout>
                  <c:x val="0"/>
                  <c:y val="4.146208401527553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4.8008728859792738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4.5826513911620362E-2"/>
                </c:manualLayout>
              </c:layout>
              <c:showVal val="1"/>
            </c:dLbl>
            <c:dLbl>
              <c:idx val="3"/>
              <c:layout>
                <c:manualLayout>
                  <c:x val="5.1299395725914903E-17"/>
                  <c:y val="5.0190943807965113E-2"/>
                </c:manualLayout>
              </c:layout>
              <c:showVal val="1"/>
            </c:dLbl>
            <c:dLbl>
              <c:idx val="4"/>
              <c:layout>
                <c:manualLayout>
                  <c:x val="-5.1299395725914903E-17"/>
                  <c:y val="4.8008728859792807E-2"/>
                </c:manualLayout>
              </c:layout>
              <c:showVal val="1"/>
            </c:dLbl>
            <c:dLbl>
              <c:idx val="5"/>
              <c:layout>
                <c:manualLayout>
                  <c:x val="4.1972717733473278E-3"/>
                  <c:y val="5.237315875613748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Лист1!$F$6:$K$6</c:f>
              <c:strCache>
                <c:ptCount val="6"/>
                <c:pt idx="0">
                  <c:v>2013/2014 уч. г.</c:v>
                </c:pt>
                <c:pt idx="1">
                  <c:v>2014/2015 уч. г.</c:v>
                </c:pt>
                <c:pt idx="2">
                  <c:v>2015/2016 уч. г.</c:v>
                </c:pt>
                <c:pt idx="3">
                  <c:v>2016/2017 уч.г.</c:v>
                </c:pt>
                <c:pt idx="4">
                  <c:v>2017/2018 уч.г.</c:v>
                </c:pt>
                <c:pt idx="5">
                  <c:v>2018/2019 уч.г.</c:v>
                </c:pt>
              </c:strCache>
            </c:strRef>
          </c:cat>
          <c:val>
            <c:numRef>
              <c:f>Лист1!$F$7:$K$7</c:f>
              <c:numCache>
                <c:formatCode>General</c:formatCode>
                <c:ptCount val="6"/>
                <c:pt idx="0">
                  <c:v>547</c:v>
                </c:pt>
                <c:pt idx="1">
                  <c:v>552</c:v>
                </c:pt>
                <c:pt idx="2">
                  <c:v>555</c:v>
                </c:pt>
                <c:pt idx="3">
                  <c:v>560</c:v>
                </c:pt>
                <c:pt idx="4">
                  <c:v>589</c:v>
                </c:pt>
                <c:pt idx="5">
                  <c:v>595</c:v>
                </c:pt>
              </c:numCache>
            </c:numRef>
          </c:val>
        </c:ser>
        <c:ser>
          <c:idx val="1"/>
          <c:order val="1"/>
          <c:tx>
            <c:strRef>
              <c:f>Лист1!$E$8</c:f>
              <c:strCache>
                <c:ptCount val="1"/>
                <c:pt idx="0">
                  <c:v>Количество детей с ОПФР, нуждающихся в коррекционно-педагогической помощи, чел.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dLbls>
            <c:dLbl>
              <c:idx val="0"/>
              <c:layout>
                <c:manualLayout>
                  <c:x val="1.3990905911157763E-3"/>
                  <c:y val="3.9279869067103193E-2"/>
                </c:manualLayout>
              </c:layout>
              <c:showVal val="1"/>
            </c:dLbl>
            <c:dLbl>
              <c:idx val="1"/>
              <c:layout>
                <c:manualLayout>
                  <c:x val="4.1972717733473278E-3"/>
                  <c:y val="4.1462084015275534E-2"/>
                </c:manualLayout>
              </c:layout>
              <c:showVal val="1"/>
            </c:dLbl>
            <c:dLbl>
              <c:idx val="2"/>
              <c:layout>
                <c:manualLayout>
                  <c:x val="4.1972717733473278E-3"/>
                  <c:y val="4.1462084015275597E-2"/>
                </c:manualLayout>
              </c:layout>
              <c:showVal val="1"/>
            </c:dLbl>
            <c:dLbl>
              <c:idx val="3"/>
              <c:layout>
                <c:manualLayout>
                  <c:x val="2.7981811822315036E-3"/>
                  <c:y val="3.7097654118930734E-2"/>
                </c:manualLayout>
              </c:layout>
              <c:showVal val="1"/>
            </c:dLbl>
            <c:dLbl>
              <c:idx val="4"/>
              <c:layout>
                <c:manualLayout>
                  <c:x val="1.3990905911157763E-3"/>
                  <c:y val="3.7097654118930734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3.927986906710315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Лист1!$F$6:$K$6</c:f>
              <c:strCache>
                <c:ptCount val="6"/>
                <c:pt idx="0">
                  <c:v>2013/2014 уч. г.</c:v>
                </c:pt>
                <c:pt idx="1">
                  <c:v>2014/2015 уч. г.</c:v>
                </c:pt>
                <c:pt idx="2">
                  <c:v>2015/2016 уч. г.</c:v>
                </c:pt>
                <c:pt idx="3">
                  <c:v>2016/2017 уч.г.</c:v>
                </c:pt>
                <c:pt idx="4">
                  <c:v>2017/2018 уч.г.</c:v>
                </c:pt>
                <c:pt idx="5">
                  <c:v>2018/2019 уч.г.</c:v>
                </c:pt>
              </c:strCache>
            </c:strRef>
          </c:cat>
          <c:val>
            <c:numRef>
              <c:f>Лист1!$F$8:$K$8</c:f>
              <c:numCache>
                <c:formatCode>General</c:formatCode>
                <c:ptCount val="6"/>
                <c:pt idx="0">
                  <c:v>1002</c:v>
                </c:pt>
                <c:pt idx="1">
                  <c:v>1022</c:v>
                </c:pt>
                <c:pt idx="2">
                  <c:v>1043</c:v>
                </c:pt>
                <c:pt idx="3">
                  <c:v>1000</c:v>
                </c:pt>
                <c:pt idx="4">
                  <c:v>1012</c:v>
                </c:pt>
                <c:pt idx="5">
                  <c:v>947</c:v>
                </c:pt>
              </c:numCache>
            </c:numRef>
          </c:val>
        </c:ser>
        <c:dLbls>
          <c:showVal val="1"/>
        </c:dLbls>
        <c:shape val="box"/>
        <c:axId val="74742016"/>
        <c:axId val="74764288"/>
        <c:axId val="103931392"/>
      </c:bar3DChart>
      <c:catAx>
        <c:axId val="7474201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764288"/>
        <c:crosses val="autoZero"/>
        <c:auto val="1"/>
        <c:lblAlgn val="ctr"/>
        <c:lblOffset val="100"/>
      </c:catAx>
      <c:valAx>
        <c:axId val="74764288"/>
        <c:scaling>
          <c:orientation val="minMax"/>
        </c:scaling>
        <c:axPos val="l"/>
        <c:majorGridlines/>
        <c:numFmt formatCode="General" sourceLinked="1"/>
        <c:tickLblPos val="nextTo"/>
        <c:crossAx val="74742016"/>
        <c:crosses val="autoZero"/>
        <c:crossBetween val="between"/>
      </c:valAx>
      <c:serAx>
        <c:axId val="103931392"/>
        <c:scaling>
          <c:orientation val="minMax"/>
        </c:scaling>
        <c:delete val="1"/>
        <c:axPos val="b"/>
        <c:tickLblPos val="nextTo"/>
        <c:crossAx val="74764288"/>
        <c:crosses val="autoZero"/>
      </c:ser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rgbClr val="0070C0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2018-10-29T13:48:00Z</dcterms:created>
  <dcterms:modified xsi:type="dcterms:W3CDTF">2018-10-29T13:48:00Z</dcterms:modified>
</cp:coreProperties>
</file>