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7F" w:rsidRDefault="00B7581F">
      <w:r w:rsidRPr="00B7581F">
        <w:drawing>
          <wp:inline distT="0" distB="0" distL="0" distR="0">
            <wp:extent cx="9314955" cy="6244516"/>
            <wp:effectExtent l="19050" t="0" r="19545" b="388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16717F" w:rsidSect="00B7581F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581F"/>
    <w:rsid w:val="0016717F"/>
    <w:rsid w:val="00B7581F"/>
    <w:rsid w:val="00F4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86;&#1090;&#1095;&#1077;&#1090;&#1099;%202018-2019\&#1082;&#1072;&#1095;&#1077;&#1089;&#1090;&#1074;&#1086;%20&#1088;&#1072;&#1073;&#1086;&#1090;&#1099;%20&#1062;&#1050;&#1056;&#1054;&#1080;&#1056;\&#1044;&#1080;&#1072;&#1075;&#1088;&#1072;&#1084;&#1084;&#1099;\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2400">
                <a:latin typeface="Times New Roman" pitchFamily="18" charset="0"/>
                <a:cs typeface="Times New Roman" pitchFamily="18" charset="0"/>
              </a:defRPr>
            </a:pPr>
            <a:r>
              <a:rPr lang="ru-RU" sz="2400">
                <a:latin typeface="Times New Roman" pitchFamily="18" charset="0"/>
                <a:cs typeface="Times New Roman" pitchFamily="18" charset="0"/>
              </a:rPr>
              <a:t>Мониторинг эффективности коррекционно-педагогической помощи в ПКПП </a:t>
            </a:r>
          </a:p>
          <a:p>
            <a:pPr>
              <a:defRPr sz="2400">
                <a:latin typeface="Times New Roman" pitchFamily="18" charset="0"/>
                <a:cs typeface="Times New Roman" pitchFamily="18" charset="0"/>
              </a:defRPr>
            </a:pPr>
            <a:r>
              <a:rPr lang="ru-RU" sz="2400">
                <a:latin typeface="Times New Roman" pitchFamily="18" charset="0"/>
                <a:cs typeface="Times New Roman" pitchFamily="18" charset="0"/>
              </a:rPr>
              <a:t>в Волковысском районе</a:t>
            </a:r>
          </a:p>
        </c:rich>
      </c:tx>
      <c:layout>
        <c:manualLayout>
          <c:xMode val="edge"/>
          <c:yMode val="edge"/>
          <c:x val="0.1814767990200655"/>
          <c:y val="2.625868279905905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Лист1!$F$5</c:f>
              <c:strCache>
                <c:ptCount val="1"/>
                <c:pt idx="0">
                  <c:v>Исправили психофизические нарушения (в % )</c:v>
                </c:pt>
              </c:strCache>
            </c:strRef>
          </c:tx>
          <c:spPr>
            <a:solidFill>
              <a:srgbClr val="FFFF00"/>
            </a:solidFill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Лист1!$E$6:$E$10</c:f>
              <c:strCache>
                <c:ptCount val="5"/>
                <c:pt idx="0">
                  <c:v>2013/2014 уч.г.</c:v>
                </c:pt>
                <c:pt idx="1">
                  <c:v>2014/2015 уч.г.</c:v>
                </c:pt>
                <c:pt idx="2">
                  <c:v>2015/2016 уч.г.</c:v>
                </c:pt>
                <c:pt idx="3">
                  <c:v>2016/2017 уч.г.</c:v>
                </c:pt>
                <c:pt idx="4">
                  <c:v>2017/2018 уч.г.</c:v>
                </c:pt>
              </c:strCache>
            </c:strRef>
          </c:cat>
          <c:val>
            <c:numRef>
              <c:f>Лист1!$F$6:$F$10</c:f>
              <c:numCache>
                <c:formatCode>0.00%</c:formatCode>
                <c:ptCount val="5"/>
                <c:pt idx="0">
                  <c:v>0.52400000000000002</c:v>
                </c:pt>
                <c:pt idx="1">
                  <c:v>0.51900000000000002</c:v>
                </c:pt>
                <c:pt idx="2">
                  <c:v>0.55500000000000005</c:v>
                </c:pt>
                <c:pt idx="3">
                  <c:v>0.54700000000000004</c:v>
                </c:pt>
                <c:pt idx="4">
                  <c:v>0.63000000000000012</c:v>
                </c:pt>
              </c:numCache>
            </c:numRef>
          </c:val>
        </c:ser>
        <c:ser>
          <c:idx val="1"/>
          <c:order val="1"/>
          <c:tx>
            <c:strRef>
              <c:f>Лист1!$G$5</c:f>
              <c:strCache>
                <c:ptCount val="1"/>
                <c:pt idx="0">
                  <c:v>Рекомендовано продолжить посещение ПКПП (в % )</c:v>
                </c:pt>
              </c:strCache>
            </c:strRef>
          </c:tx>
          <c:dLbls>
            <c:dLbl>
              <c:idx val="0"/>
              <c:layout>
                <c:manualLayout>
                  <c:x val="2.1814383429656942E-2"/>
                  <c:y val="-4.0675690477852879E-3"/>
                </c:manualLayout>
              </c:layout>
              <c:showVal val="1"/>
            </c:dLbl>
            <c:dLbl>
              <c:idx val="1"/>
              <c:layout>
                <c:manualLayout>
                  <c:x val="2.5904580322717606E-2"/>
                  <c:y val="-4.0675690477852879E-3"/>
                </c:manualLayout>
              </c:layout>
              <c:showVal val="1"/>
            </c:dLbl>
            <c:dLbl>
              <c:idx val="2"/>
              <c:layout>
                <c:manualLayout>
                  <c:x val="2.5904580322717606E-2"/>
                  <c:y val="-6.1013535716779328E-3"/>
                </c:manualLayout>
              </c:layout>
              <c:showVal val="1"/>
            </c:dLbl>
            <c:dLbl>
              <c:idx val="3"/>
              <c:layout>
                <c:manualLayout>
                  <c:x val="2.7267979287071181E-2"/>
                  <c:y val="-6.1013535716779328E-3"/>
                </c:manualLayout>
              </c:layout>
              <c:showVal val="1"/>
            </c:dLbl>
            <c:dLbl>
              <c:idx val="4"/>
              <c:layout>
                <c:manualLayout>
                  <c:x val="2.7267979287071181E-2"/>
                  <c:y val="-4.0675690477852879E-3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Лист1!$E$6:$E$10</c:f>
              <c:strCache>
                <c:ptCount val="5"/>
                <c:pt idx="0">
                  <c:v>2013/2014 уч.г.</c:v>
                </c:pt>
                <c:pt idx="1">
                  <c:v>2014/2015 уч.г.</c:v>
                </c:pt>
                <c:pt idx="2">
                  <c:v>2015/2016 уч.г.</c:v>
                </c:pt>
                <c:pt idx="3">
                  <c:v>2016/2017 уч.г.</c:v>
                </c:pt>
                <c:pt idx="4">
                  <c:v>2017/2018 уч.г.</c:v>
                </c:pt>
              </c:strCache>
            </c:strRef>
          </c:cat>
          <c:val>
            <c:numRef>
              <c:f>Лист1!$G$6:$G$10</c:f>
              <c:numCache>
                <c:formatCode>0.00%</c:formatCode>
                <c:ptCount val="5"/>
                <c:pt idx="0">
                  <c:v>0.46300000000000002</c:v>
                </c:pt>
                <c:pt idx="1">
                  <c:v>0.46500000000000002</c:v>
                </c:pt>
                <c:pt idx="2">
                  <c:v>0.43700000000000006</c:v>
                </c:pt>
                <c:pt idx="3">
                  <c:v>0.43900000000000006</c:v>
                </c:pt>
                <c:pt idx="4">
                  <c:v>0.3660000000000001</c:v>
                </c:pt>
              </c:numCache>
            </c:numRef>
          </c:val>
        </c:ser>
        <c:ser>
          <c:idx val="2"/>
          <c:order val="2"/>
          <c:tx>
            <c:strRef>
              <c:f>Лист1!$H$5</c:f>
              <c:strCache>
                <c:ptCount val="1"/>
                <c:pt idx="0">
                  <c:v>Рекомендовано обучение по программам специального образования (в % )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2.3177782394010488E-2"/>
                  <c:y val="-1.4236491667248512E-2"/>
                </c:manualLayout>
              </c:layout>
              <c:showVal val="1"/>
            </c:dLbl>
            <c:dLbl>
              <c:idx val="1"/>
              <c:layout>
                <c:manualLayout>
                  <c:x val="1.908758550094982E-2"/>
                  <c:y val="-1.0168922619463224E-2"/>
                </c:manualLayout>
              </c:layout>
              <c:showVal val="1"/>
            </c:dLbl>
            <c:dLbl>
              <c:idx val="2"/>
              <c:layout>
                <c:manualLayout>
                  <c:x val="2.1814383429656942E-2"/>
                  <c:y val="-1.0168922619463224E-2"/>
                </c:manualLayout>
              </c:layout>
              <c:showVal val="1"/>
            </c:dLbl>
            <c:dLbl>
              <c:idx val="3"/>
              <c:layout>
                <c:manualLayout>
                  <c:x val="2.0450984465303381E-2"/>
                  <c:y val="-1.0168922619463224E-2"/>
                </c:manualLayout>
              </c:layout>
              <c:showVal val="1"/>
            </c:dLbl>
            <c:dLbl>
              <c:idx val="4"/>
              <c:layout>
                <c:manualLayout>
                  <c:x val="1.908758550094982E-2"/>
                  <c:y val="-1.6270276191141155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Лист1!$E$6:$E$10</c:f>
              <c:strCache>
                <c:ptCount val="5"/>
                <c:pt idx="0">
                  <c:v>2013/2014 уч.г.</c:v>
                </c:pt>
                <c:pt idx="1">
                  <c:v>2014/2015 уч.г.</c:v>
                </c:pt>
                <c:pt idx="2">
                  <c:v>2015/2016 уч.г.</c:v>
                </c:pt>
                <c:pt idx="3">
                  <c:v>2016/2017 уч.г.</c:v>
                </c:pt>
                <c:pt idx="4">
                  <c:v>2017/2018 уч.г.</c:v>
                </c:pt>
              </c:strCache>
            </c:strRef>
          </c:cat>
          <c:val>
            <c:numRef>
              <c:f>Лист1!$H$6:$H$10</c:f>
              <c:numCache>
                <c:formatCode>0.00%</c:formatCode>
                <c:ptCount val="5"/>
                <c:pt idx="0">
                  <c:v>1.2999999999999998E-2</c:v>
                </c:pt>
                <c:pt idx="1">
                  <c:v>2.1000000000000005E-2</c:v>
                </c:pt>
                <c:pt idx="2">
                  <c:v>8.0000000000000019E-3</c:v>
                </c:pt>
                <c:pt idx="3">
                  <c:v>1.4E-2</c:v>
                </c:pt>
                <c:pt idx="4">
                  <c:v>4.000000000000001E-3</c:v>
                </c:pt>
              </c:numCache>
            </c:numRef>
          </c:val>
        </c:ser>
        <c:dLbls>
          <c:showVal val="1"/>
        </c:dLbls>
        <c:shape val="box"/>
        <c:axId val="126134912"/>
        <c:axId val="126370560"/>
        <c:axId val="0"/>
      </c:bar3DChart>
      <c:catAx>
        <c:axId val="126134912"/>
        <c:scaling>
          <c:orientation val="minMax"/>
        </c:scaling>
        <c:axPos val="b"/>
        <c:tickLblPos val="nextTo"/>
        <c:spPr>
          <a:noFill/>
          <a:ln w="9525" cap="flat" cmpd="sng" algn="ctr">
            <a:solidFill>
              <a:schemeClr val="accent1">
                <a:shade val="95000"/>
                <a:satMod val="105000"/>
              </a:schemeClr>
            </a:solidFill>
            <a:prstDash val="solid"/>
          </a:ln>
          <a:effectLst/>
        </c:spPr>
        <c:crossAx val="126370560"/>
        <c:crosses val="autoZero"/>
        <c:auto val="1"/>
        <c:lblAlgn val="ctr"/>
        <c:lblOffset val="100"/>
      </c:catAx>
      <c:valAx>
        <c:axId val="126370560"/>
        <c:scaling>
          <c:orientation val="minMax"/>
        </c:scaling>
        <c:axPos val="l"/>
        <c:majorGridlines/>
        <c:numFmt formatCode="0.00%" sourceLinked="1"/>
        <c:tickLblPos val="nextTo"/>
        <c:crossAx val="126134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712679771399861"/>
          <c:y val="0.40259466612282191"/>
          <c:w val="0.35151667399359426"/>
          <c:h val="0.30747484689413856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2018-10-29T19:52:00Z</dcterms:created>
  <dcterms:modified xsi:type="dcterms:W3CDTF">2018-10-29T19:57:00Z</dcterms:modified>
</cp:coreProperties>
</file>